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420FF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27D27895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5068AA79" w14:textId="77777777" w:rsidR="00EE2A58" w:rsidRPr="00F04343" w:rsidRDefault="00EE2A58" w:rsidP="00EE2A58">
      <w:pPr>
        <w:rPr>
          <w:szCs w:val="20"/>
        </w:rPr>
      </w:pPr>
    </w:p>
    <w:bookmarkEnd w:id="1"/>
    <w:p w14:paraId="5A60B33B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2004C">
        <w:rPr>
          <w:sz w:val="22"/>
          <w:lang w:val="sv-FI"/>
        </w:rPr>
        <w:t>8.13</w:t>
      </w:r>
    </w:p>
    <w:p w14:paraId="4AC8BF04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1254DB7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62004C" w:rsidRPr="0062004C">
        <w:rPr>
          <w:sz w:val="22"/>
        </w:rPr>
        <w:t>8.13</w:t>
      </w:r>
      <w:r w:rsidR="0062004C">
        <w:rPr>
          <w:sz w:val="22"/>
        </w:rPr>
        <w:t xml:space="preserve"> </w:t>
      </w:r>
      <w:r w:rsidR="0062004C" w:rsidRPr="0062004C">
        <w:rPr>
          <w:sz w:val="22"/>
        </w:rPr>
        <w:t>Maintenance on LTE-based 5G Broadcast Phase 2</w:t>
      </w:r>
    </w:p>
    <w:p w14:paraId="5C7423FE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E95B737" w14:textId="77777777" w:rsidR="00293878" w:rsidRPr="0052548E" w:rsidRDefault="00293878" w:rsidP="00293878">
      <w:pPr>
        <w:pBdr>
          <w:bottom w:val="single" w:sz="4" w:space="1" w:color="auto"/>
        </w:pBdr>
      </w:pPr>
    </w:p>
    <w:p w14:paraId="00A2A10F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7A097B76" w14:textId="77777777" w:rsidR="00D93CA5" w:rsidRDefault="00D93CA5" w:rsidP="00DA5FB9">
      <w:pPr>
        <w:pStyle w:val="Heading2"/>
        <w:numPr>
          <w:ilvl w:val="1"/>
          <w:numId w:val="16"/>
        </w:numPr>
        <w:rPr>
          <w:rFonts w:eastAsia="DengXian"/>
          <w:color w:val="000000"/>
          <w:lang w:val="en-US" w:eastAsia="zh-CN"/>
        </w:rPr>
      </w:pPr>
      <w:bookmarkStart w:id="2" w:name="_Toc197093438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091A29">
        <w:rPr>
          <w:rFonts w:eastAsia="DengXian"/>
          <w:color w:val="000000"/>
          <w:lang w:val="en-US" w:eastAsia="zh-CN"/>
        </w:rPr>
        <w:t xml:space="preserve"> LTE-based 5G Broadcast Phase 2</w:t>
      </w:r>
      <w:bookmarkEnd w:id="2"/>
    </w:p>
    <w:p w14:paraId="58D254DA" w14:textId="77777777" w:rsidR="00F51806" w:rsidRPr="00E35495" w:rsidRDefault="00F51806" w:rsidP="00F51806">
      <w:pPr>
        <w:rPr>
          <w:highlight w:val="cyan"/>
          <w:lang w:eastAsia="x-none"/>
        </w:rPr>
      </w:pPr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 w:rsidR="007239E7">
        <w:rPr>
          <w:rFonts w:eastAsia="DengXian" w:hint="eastAsia"/>
          <w:highlight w:val="cyan"/>
          <w:lang w:eastAsia="zh-CN"/>
        </w:rPr>
        <w:t>Assunta</w:t>
      </w:r>
      <w:r w:rsidR="0004254A">
        <w:rPr>
          <w:rFonts w:eastAsia="DengXian" w:hint="eastAsia"/>
          <w:highlight w:val="cyan"/>
          <w:lang w:eastAsia="zh-CN"/>
        </w:rPr>
        <w:t xml:space="preserve"> </w:t>
      </w:r>
      <w:r w:rsidRPr="00E35495">
        <w:rPr>
          <w:highlight w:val="cyan"/>
          <w:lang w:eastAsia="x-none"/>
        </w:rPr>
        <w:t>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14:paraId="180E25A9" w14:textId="77777777" w:rsidR="00F51806" w:rsidRPr="00D257AB" w:rsidRDefault="00F51806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1C77E89" w14:textId="77777777" w:rsidR="00F51806" w:rsidRDefault="00F51806" w:rsidP="00F51806">
      <w:pPr>
        <w:rPr>
          <w:rFonts w:eastAsia="DengXian"/>
          <w:lang w:val="en-US" w:eastAsia="zh-CN"/>
        </w:rPr>
      </w:pPr>
    </w:p>
    <w:p w14:paraId="0D4E4C2D" w14:textId="77777777" w:rsidR="00D93CA5" w:rsidRPr="00091A29" w:rsidRDefault="00D93CA5" w:rsidP="00DA5FB9">
      <w:pPr>
        <w:pStyle w:val="Heading3"/>
        <w:numPr>
          <w:ilvl w:val="2"/>
          <w:numId w:val="16"/>
        </w:numPr>
        <w:rPr>
          <w:bCs/>
        </w:rPr>
      </w:pPr>
      <w:bookmarkStart w:id="3" w:name="_Toc197093439"/>
      <w:r w:rsidRPr="00091A29">
        <w:rPr>
          <w:bCs/>
        </w:rPr>
        <w:t>Time-frequency interleaver design for MBMS dedicated cells</w:t>
      </w:r>
      <w:bookmarkEnd w:id="3"/>
    </w:p>
    <w:p w14:paraId="0FCD1E50" w14:textId="77777777"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R1-2505232</w:t>
      </w:r>
      <w:r>
        <w:rPr>
          <w:rFonts w:ascii="Times New Roman" w:eastAsia="Times New Roman" w:hAnsi="Times New Roman"/>
        </w:rPr>
        <w:tab/>
        <w:t>Maintenance for LTE based 5G broadcast</w:t>
      </w:r>
      <w:r>
        <w:rPr>
          <w:rFonts w:ascii="Times New Roman" w:eastAsia="Times New Roman" w:hAnsi="Times New Roman"/>
        </w:rPr>
        <w:tab/>
        <w:t>Huawei, HiSilicon</w:t>
      </w:r>
    </w:p>
    <w:p w14:paraId="4B108CDF" w14:textId="77777777" w:rsidR="00D93CA5" w:rsidRPr="00DD3C26" w:rsidRDefault="00D93CA5" w:rsidP="00DD3C26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R1-2505505</w:t>
      </w:r>
      <w:r>
        <w:rPr>
          <w:rFonts w:ascii="Times New Roman" w:eastAsia="Times New Roman" w:hAnsi="Times New Roman"/>
        </w:rPr>
        <w:tab/>
        <w:t>Discussion on Time-frequency interleaver design for MBMS dedicated cells</w:t>
      </w:r>
      <w:r>
        <w:rPr>
          <w:rFonts w:ascii="Times New Roman" w:eastAsia="Times New Roman" w:hAnsi="Times New Roman"/>
        </w:rPr>
        <w:tab/>
        <w:t>ZTE Corporation, Sanechips</w:t>
      </w:r>
    </w:p>
    <w:p w14:paraId="54F92E7D" w14:textId="77777777" w:rsidR="00D93CA5" w:rsidRDefault="00D93CA5" w:rsidP="00D93CA5">
      <w:r>
        <w:rPr>
          <w:rFonts w:ascii="Times New Roman" w:eastAsia="Times New Roman" w:hAnsi="Times New Roman"/>
        </w:rPr>
        <w:t>R1-2505559</w:t>
      </w:r>
      <w:r>
        <w:rPr>
          <w:rFonts w:ascii="Times New Roman" w:eastAsia="Times New Roman" w:hAnsi="Times New Roman"/>
        </w:rPr>
        <w:tab/>
        <w:t>Time-frequency interleaver design for MBMS dedicated cells</w:t>
      </w:r>
      <w:r>
        <w:rPr>
          <w:rFonts w:ascii="Times New Roman" w:eastAsia="Times New Roman" w:hAnsi="Times New Roman"/>
        </w:rPr>
        <w:tab/>
        <w:t>Samsung</w:t>
      </w:r>
    </w:p>
    <w:p w14:paraId="76794554" w14:textId="77777777" w:rsidR="00D93CA5" w:rsidRDefault="00D93CA5" w:rsidP="00D93CA5">
      <w:r>
        <w:rPr>
          <w:rFonts w:ascii="Times New Roman" w:eastAsia="Times New Roman" w:hAnsi="Times New Roman"/>
        </w:rPr>
        <w:t>R1-2505645</w:t>
      </w:r>
      <w:r>
        <w:rPr>
          <w:rFonts w:ascii="Times New Roman" w:eastAsia="Times New Roman" w:hAnsi="Times New Roman"/>
        </w:rPr>
        <w:tab/>
        <w:t>Maintenance on LTE-based 5G Broadcast</w:t>
      </w:r>
      <w:r>
        <w:rPr>
          <w:rFonts w:ascii="Times New Roman" w:eastAsia="Times New Roman" w:hAnsi="Times New Roman"/>
        </w:rPr>
        <w:tab/>
        <w:t>Xiaomi</w:t>
      </w:r>
    </w:p>
    <w:p w14:paraId="25659224" w14:textId="77777777" w:rsidR="00D93CA5" w:rsidRDefault="00D93CA5" w:rsidP="00D93CA5">
      <w:r>
        <w:rPr>
          <w:rFonts w:ascii="Times New Roman" w:eastAsia="Times New Roman" w:hAnsi="Times New Roman"/>
        </w:rPr>
        <w:t>R1-2506194</w:t>
      </w:r>
      <w:r>
        <w:rPr>
          <w:rFonts w:ascii="Times New Roman" w:eastAsia="Times New Roman" w:hAnsi="Times New Roman"/>
        </w:rPr>
        <w:tab/>
        <w:t>Time and Frequency Interleaving for 5G Broadcast</w:t>
      </w:r>
      <w:r>
        <w:rPr>
          <w:rFonts w:ascii="Times New Roman" w:eastAsia="Times New Roman" w:hAnsi="Times New Roman"/>
        </w:rPr>
        <w:tab/>
        <w:t>Qualcomm Incorporated</w:t>
      </w:r>
    </w:p>
    <w:p w14:paraId="44A434D6" w14:textId="7E39FF14" w:rsidR="00D93CA5" w:rsidRDefault="00D93CA5" w:rsidP="00906478">
      <w:pPr>
        <w:rPr>
          <w:rFonts w:ascii="Times New Roman" w:eastAsia="DengXian" w:hAnsi="Times New Roman"/>
          <w:lang w:eastAsia="zh-CN"/>
        </w:rPr>
      </w:pPr>
    </w:p>
    <w:p w14:paraId="11FB9822" w14:textId="02673BDF" w:rsidR="0082184E" w:rsidRPr="0082184E" w:rsidRDefault="0082184E" w:rsidP="00906478">
      <w:pPr>
        <w:rPr>
          <w:rFonts w:ascii="Times New Roman" w:eastAsia="DengXian" w:hAnsi="Times New Roman"/>
          <w:b/>
          <w:bCs/>
          <w:lang w:eastAsia="zh-CN"/>
        </w:rPr>
      </w:pPr>
      <w:r w:rsidRPr="0082184E">
        <w:rPr>
          <w:rFonts w:ascii="Times New Roman" w:eastAsia="Times New Roman" w:hAnsi="Times New Roman"/>
          <w:b/>
          <w:bCs/>
        </w:rPr>
        <w:t>R1-250</w:t>
      </w:r>
      <w:r w:rsidRPr="0082184E">
        <w:rPr>
          <w:rFonts w:ascii="Times New Roman" w:eastAsia="Times New Roman" w:hAnsi="Times New Roman"/>
          <w:b/>
          <w:bCs/>
        </w:rPr>
        <w:t>6499</w:t>
      </w:r>
      <w:r w:rsidRPr="0082184E">
        <w:rPr>
          <w:rFonts w:ascii="Times New Roman" w:eastAsia="Times New Roman" w:hAnsi="Times New Roman"/>
        </w:rPr>
        <w:tab/>
      </w:r>
      <w:r w:rsidRPr="0082184E">
        <w:rPr>
          <w:rFonts w:ascii="Times New Roman" w:eastAsia="Times New Roman" w:hAnsi="Times New Roman"/>
        </w:rPr>
        <w:t>Feature lead summary #1 on TFI for LTE-based 5G Terrestrial Broadcast (maintenance)</w:t>
      </w:r>
      <w:r>
        <w:rPr>
          <w:rFonts w:ascii="Times New Roman" w:eastAsia="Times New Roman" w:hAnsi="Times New Roman"/>
        </w:rPr>
        <w:tab/>
        <w:t>Moderator(EBU)</w:t>
      </w:r>
    </w:p>
    <w:p w14:paraId="58EF800D" w14:textId="771055DA" w:rsidR="0082184E" w:rsidRDefault="0082184E" w:rsidP="00906478">
      <w:pPr>
        <w:rPr>
          <w:rFonts w:ascii="Times New Roman" w:eastAsia="DengXian" w:hAnsi="Times New Roman"/>
          <w:lang w:eastAsia="zh-CN"/>
        </w:rPr>
      </w:pPr>
    </w:p>
    <w:p w14:paraId="0DA3CEFB" w14:textId="51E56C6B" w:rsidR="0082184E" w:rsidRDefault="00A66FA2" w:rsidP="0082184E">
      <w:pPr>
        <w:rPr>
          <w:b/>
          <w:bCs/>
        </w:rPr>
      </w:pPr>
      <w:r w:rsidRPr="00A66FA2">
        <w:rPr>
          <w:b/>
          <w:bCs/>
          <w:highlight w:val="green"/>
        </w:rPr>
        <w:t>Agreement</w:t>
      </w:r>
    </w:p>
    <w:p w14:paraId="604832F2" w14:textId="44677457" w:rsidR="0082184E" w:rsidRDefault="0082184E" w:rsidP="0082184E">
      <w:pPr>
        <w:rPr>
          <w:b/>
          <w:bCs/>
        </w:rPr>
      </w:pPr>
      <w:r>
        <w:rPr>
          <w:b/>
          <w:bCs/>
        </w:rPr>
        <w:t>Adopt the following text proposal for TS 36.211:</w:t>
      </w:r>
    </w:p>
    <w:p w14:paraId="4FE702E0" w14:textId="7455804C" w:rsidR="0082184E" w:rsidRDefault="0082184E" w:rsidP="0082184E">
      <w:pPr>
        <w:rPr>
          <w:b/>
          <w:bCs/>
        </w:rPr>
      </w:pPr>
    </w:p>
    <w:p w14:paraId="0F27C94A" w14:textId="045AC82C" w:rsidR="00A66FA2" w:rsidRDefault="00A66FA2" w:rsidP="0082184E">
      <w:pPr>
        <w:rPr>
          <w:b/>
          <w:bCs/>
        </w:rPr>
      </w:pPr>
      <w:r>
        <w:rPr>
          <w:b/>
          <w:bCs/>
        </w:rPr>
        <w:t>******** start of TP *************</w:t>
      </w:r>
    </w:p>
    <w:p w14:paraId="4CD75DDB" w14:textId="77777777" w:rsidR="0082184E" w:rsidRPr="0034459F" w:rsidRDefault="0082184E" w:rsidP="0082184E">
      <w:pPr>
        <w:pStyle w:val="ListParagraph"/>
        <w:ind w:left="800"/>
      </w:pPr>
      <w:r w:rsidRPr="0034459F">
        <w:t xml:space="preserve">6.5.2 </w:t>
      </w:r>
      <w:r w:rsidRPr="0082184E">
        <w:t>Frequency Domain interleaving</w:t>
      </w:r>
    </w:p>
    <w:p w14:paraId="7D3882A1" w14:textId="77777777" w:rsidR="0082184E" w:rsidRPr="0034459F" w:rsidRDefault="0082184E" w:rsidP="0082184E">
      <w:pPr>
        <w:pStyle w:val="ListParagraph"/>
        <w:ind w:left="800"/>
      </w:pPr>
    </w:p>
    <w:p w14:paraId="7BF86627" w14:textId="77777777" w:rsidR="0082184E" w:rsidRPr="0034459F" w:rsidRDefault="0082184E" w:rsidP="0082184E">
      <w:pPr>
        <w:pStyle w:val="ListParagraph"/>
        <w:ind w:left="800"/>
      </w:pPr>
      <w:r w:rsidRPr="0034459F">
        <w:t xml:space="preserve">The input to the interleaver is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34459F">
        <w:t xml:space="preserve">  defined in clause 6.3.4.1 and the output from the interleaver is a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34459F">
        <w:t>.</w:t>
      </w:r>
    </w:p>
    <w:p w14:paraId="0373D631" w14:textId="77777777" w:rsidR="0082184E" w:rsidRPr="0034459F" w:rsidRDefault="0082184E" w:rsidP="0082184E">
      <w:pPr>
        <w:pStyle w:val="ListParagraph"/>
        <w:ind w:left="800"/>
      </w:pPr>
    </w:p>
    <w:p w14:paraId="0DECB832" w14:textId="77777777" w:rsidR="0082184E" w:rsidRPr="0034459F" w:rsidRDefault="0082184E" w:rsidP="0082184E">
      <w:pPr>
        <w:pStyle w:val="ListParagraph"/>
        <w:ind w:left="800"/>
      </w:pPr>
      <w:r w:rsidRPr="0034459F">
        <w:t>&lt;&lt;unchanged text&gt;&gt;</w:t>
      </w:r>
    </w:p>
    <w:p w14:paraId="4D6317F3" w14:textId="77777777" w:rsidR="0082184E" w:rsidRPr="0034459F" w:rsidRDefault="0082184E" w:rsidP="0082184E">
      <w:pPr>
        <w:pStyle w:val="ListParagraph"/>
        <w:ind w:left="800"/>
      </w:pPr>
    </w:p>
    <w:p w14:paraId="6D9AB18C" w14:textId="77777777" w:rsidR="0082184E" w:rsidRPr="0034459F" w:rsidRDefault="0082184E" w:rsidP="0082184E">
      <w:pPr>
        <w:pStyle w:val="B2"/>
        <w:ind w:left="0" w:firstLine="720"/>
      </w:pPr>
      <w:r w:rsidRPr="0034459F">
        <w:t xml:space="preserve">Permute the rows </w:t>
      </w:r>
      <w:r>
        <w:t xml:space="preserve">, </w:t>
      </w:r>
      <w:r w:rsidRPr="00EF5926">
        <w:rPr>
          <w:color w:val="FF0000"/>
        </w:rPr>
        <w:t xml:space="preserve">if </w:t>
      </w:r>
      <m:oMath>
        <m:rad>
          <m:radPr>
            <m:degHide m:val="1"/>
            <m:ctrlPr>
              <w:rPr>
                <w:rFonts w:ascii="Cambria Math" w:hAnsi="Cambria Math"/>
                <w:color w:val="FF0000"/>
                <w14:ligatures w14:val="standardContextual"/>
              </w:rPr>
            </m:ctrlPr>
          </m:radPr>
          <m:deg/>
          <m:e>
            <m:r>
              <w:rPr>
                <w:rFonts w:ascii="Cambria Math" w:hAnsi="Cambria Math"/>
                <w:color w:val="FF0000"/>
              </w:rPr>
              <m:t>RK</m:t>
            </m:r>
          </m:e>
        </m:rad>
        <m:r>
          <m:rPr>
            <m:sty m:val="p"/>
          </m:rPr>
          <w:rPr>
            <w:rFonts w:ascii="Cambria Math" w:hAnsi="Cambria Math"/>
            <w:color w:val="FF0000"/>
          </w:rPr>
          <m:t>-</m:t>
        </m:r>
        <m:r>
          <w:rPr>
            <w:rFonts w:ascii="Cambria Math" w:hAnsi="Cambria Math"/>
            <w:color w:val="FF0000"/>
          </w:rPr>
          <m:t>K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+1&gt;0, </m:t>
        </m:r>
      </m:oMath>
      <w:r w:rsidRPr="0034459F">
        <w:t xml:space="preserve">such that row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34459F">
        <w:t xml:space="preserve"> is moved to row </w:t>
      </w:r>
      <m:oMath>
        <m:r>
          <w:rPr>
            <w:rFonts w:ascii="Cambria Math" w:hAnsi="Cambria Math"/>
          </w:rPr>
          <m:t>i</m:t>
        </m:r>
      </m:oMath>
      <w:r w:rsidRPr="0034459F">
        <w:t xml:space="preserve"> where</w:t>
      </w:r>
    </w:p>
    <w:p w14:paraId="629A33C1" w14:textId="77777777" w:rsidR="0082184E" w:rsidRPr="00757519" w:rsidRDefault="0082184E" w:rsidP="0082184E">
      <w:pPr>
        <w:pStyle w:val="EQ"/>
        <w:rPr>
          <w14:ligatures w14:val="standardContextual"/>
        </w:rPr>
      </w:pPr>
      <m:oMathPara>
        <m:oMath>
          <m:sSub>
            <m:sSubPr>
              <m:ctrlPr>
                <w:rPr>
                  <w:rFonts w:ascii="Cambria Math" w:hAnsi="Cambria Math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≤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14:ligatures w14:val="standardContextual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id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d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R</m:t>
                  </m:r>
                </m:num>
                <m:den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num>
                        <m:den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/>
                                  <w14:ligatures w14:val="standardContextual"/>
                                </w:rPr>
                              </m:ctrlPr>
                            </m:dPr>
                            <m:e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14:ligatures w14:val="standardContextual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RK</m:t>
                                  </m:r>
                                </m:e>
                              </m:ra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+1</m:t>
                              </m:r>
                            </m:e>
                          </m:d>
                        </m:den>
                      </m:f>
                    </m:e>
                  </m:d>
                </m:den>
              </m:f>
            </m:e>
          </m:d>
        </m:oMath>
      </m:oMathPara>
    </w:p>
    <w:p w14:paraId="5F9D8D3B" w14:textId="243FD93A" w:rsidR="00A66FA2" w:rsidRDefault="00A66FA2" w:rsidP="00A66FA2">
      <w:pPr>
        <w:rPr>
          <w:b/>
          <w:bCs/>
        </w:rPr>
      </w:pPr>
      <w:r>
        <w:rPr>
          <w:b/>
          <w:bCs/>
        </w:rPr>
        <w:t xml:space="preserve">******** </w:t>
      </w:r>
      <w:r>
        <w:rPr>
          <w:b/>
          <w:bCs/>
        </w:rPr>
        <w:t>end</w:t>
      </w:r>
      <w:r>
        <w:rPr>
          <w:b/>
          <w:bCs/>
        </w:rPr>
        <w:t xml:space="preserve"> of TP *************</w:t>
      </w:r>
    </w:p>
    <w:p w14:paraId="48BA71F3" w14:textId="46D3C76F" w:rsidR="0082184E" w:rsidRPr="0082184E" w:rsidRDefault="0082184E" w:rsidP="00906478">
      <w:pPr>
        <w:rPr>
          <w:rFonts w:ascii="Times New Roman" w:eastAsia="DengXian" w:hAnsi="Times New Roman"/>
          <w:lang w:eastAsia="zh-CN"/>
        </w:rPr>
      </w:pPr>
    </w:p>
    <w:p w14:paraId="4596BB2D" w14:textId="7F9CABFA" w:rsidR="0082184E" w:rsidRDefault="00A66FA2" w:rsidP="00906478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N</w:t>
      </w:r>
      <w:r>
        <w:rPr>
          <w:rFonts w:ascii="Times New Roman" w:eastAsia="DengXian" w:hAnsi="Times New Roman"/>
          <w:lang w:eastAsia="zh-CN"/>
        </w:rPr>
        <w:t xml:space="preserve">ote: it can be discussed in a future meeting whether an essential correction is needed for the case where </w:t>
      </w:r>
      <m:oMath>
        <m:rad>
          <m:radPr>
            <m:degHide m:val="1"/>
            <m:ctrlPr>
              <w:rPr>
                <w:rFonts w:ascii="Cambria Math" w:hAnsi="Cambria Math"/>
                <w14:ligatures w14:val="standardContextual"/>
              </w:rPr>
            </m:ctrlPr>
          </m:radPr>
          <m:deg/>
          <m:e>
            <m:r>
              <w:rPr>
                <w:rFonts w:ascii="Cambria Math" w:hAnsi="Cambria Math"/>
              </w:rPr>
              <m:t>RK</m:t>
            </m:r>
          </m:e>
        </m:ra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+1</m:t>
        </m:r>
        <m:r>
          <m:rPr>
            <m:sty m:val="p"/>
          </m:rPr>
          <w:rPr>
            <w:rFonts w:ascii="Cambria Math" w:hAnsi="Cambria Math"/>
          </w:rPr>
          <m:t>≤</m:t>
        </m:r>
        <m:r>
          <m:rPr>
            <m:sty m:val="p"/>
          </m:rP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.</m:t>
        </m:r>
      </m:oMath>
    </w:p>
    <w:p w14:paraId="4894C058" w14:textId="3B20A317" w:rsidR="0082184E" w:rsidRDefault="0082184E" w:rsidP="00906478">
      <w:pPr>
        <w:rPr>
          <w:rFonts w:ascii="Times New Roman" w:eastAsia="DengXian" w:hAnsi="Times New Roman"/>
          <w:lang w:eastAsia="zh-CN"/>
        </w:rPr>
      </w:pPr>
    </w:p>
    <w:p w14:paraId="6E1D85D1" w14:textId="682BFD74" w:rsidR="00A66FA2" w:rsidRDefault="00A66FA2" w:rsidP="00906478">
      <w:pPr>
        <w:rPr>
          <w:rFonts w:ascii="Times New Roman" w:eastAsia="DengXian" w:hAnsi="Times New Roman"/>
          <w:lang w:eastAsia="zh-CN"/>
        </w:rPr>
      </w:pPr>
      <w:r w:rsidRPr="00A66FA2">
        <w:rPr>
          <w:rFonts w:ascii="Times New Roman" w:eastAsia="DengXian" w:hAnsi="Times New Roman"/>
          <w:highlight w:val="yellow"/>
          <w:lang w:eastAsia="zh-CN"/>
        </w:rPr>
        <w:t>Comeback for CR cover sheet</w:t>
      </w:r>
    </w:p>
    <w:p w14:paraId="04CAF362" w14:textId="471258BE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25E35D99" w14:textId="1E8A71A1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4035E60F" w14:textId="6EC7AC9B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27AD8FED" w14:textId="0938CDC8" w:rsidR="00A66FA2" w:rsidRDefault="00A66FA2" w:rsidP="00A66FA2">
      <w:pPr>
        <w:rPr>
          <w:b/>
          <w:iCs/>
          <w:lang w:eastAsia="zh-CN"/>
        </w:rPr>
      </w:pPr>
      <w:r w:rsidRPr="00A66FA2">
        <w:rPr>
          <w:b/>
          <w:iCs/>
          <w:highlight w:val="green"/>
          <w:lang w:eastAsia="zh-CN"/>
        </w:rPr>
        <w:lastRenderedPageBreak/>
        <w:t>Agreement</w:t>
      </w:r>
    </w:p>
    <w:p w14:paraId="487743E6" w14:textId="77777777" w:rsidR="00A66FA2" w:rsidRPr="00A66FA2" w:rsidRDefault="00A66FA2" w:rsidP="00A66FA2">
      <w:pPr>
        <w:rPr>
          <w:bCs/>
          <w:iCs/>
          <w:lang w:eastAsia="zh-CN"/>
        </w:rPr>
      </w:pPr>
      <w:r w:rsidRPr="00A66FA2">
        <w:rPr>
          <w:bCs/>
          <w:iCs/>
          <w:lang w:eastAsia="zh-CN"/>
        </w:rPr>
        <w:t>The contents to be included in the MBMS-ROM-Info-19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3"/>
      </w:tblGrid>
      <w:tr w:rsidR="00A66FA2" w14:paraId="50E66936" w14:textId="77777777" w:rsidTr="00A66FA2">
        <w:tc>
          <w:tcPr>
            <w:tcW w:w="9493" w:type="dxa"/>
          </w:tcPr>
          <w:p w14:paraId="2274AF5D" w14:textId="77777777" w:rsidR="00A66FA2" w:rsidRDefault="00A66FA2" w:rsidP="009E65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>MBMS-ROM-Info-r19 ::= SEQUENCE {</w:t>
            </w:r>
          </w:p>
          <w:p w14:paraId="71785055" w14:textId="77777777" w:rsidR="00A66FA2" w:rsidRDefault="00A66FA2" w:rsidP="009E65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mbms-ROM-Freq-r19</w:t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ARFCN-ValueEUTRA-r9,</w:t>
            </w:r>
          </w:p>
          <w:p w14:paraId="2FAECD02" w14:textId="77777777" w:rsidR="00A66FA2" w:rsidRDefault="00A66FA2" w:rsidP="009E65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mbms-ROM-SubcarrierSpacing-r19</w:t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ENUMERATED {kHz15, kHz7dot5, kHz2dot5, kHz1dot25},</w:t>
            </w:r>
          </w:p>
          <w:p w14:paraId="5FFB9094" w14:textId="77777777" w:rsidR="00A66FA2" w:rsidRDefault="00A66FA2" w:rsidP="009E65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mbms-Bandwidth-r19</w:t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ENUMERATED {n6, n15, n25, n30, n35, n40, n50, n75, n100}</w:t>
            </w:r>
          </w:p>
        </w:tc>
      </w:tr>
    </w:tbl>
    <w:p w14:paraId="325F2897" w14:textId="77777777" w:rsidR="00A66FA2" w:rsidRPr="00A66FA2" w:rsidRDefault="00A66FA2" w:rsidP="00A66FA2">
      <w:pPr>
        <w:rPr>
          <w:rFonts w:eastAsiaTheme="minorEastAsia" w:hint="eastAsia"/>
          <w:b/>
          <w:bCs/>
          <w:iCs/>
          <w:lang w:eastAsia="zh-CN"/>
        </w:rPr>
      </w:pPr>
    </w:p>
    <w:p w14:paraId="07A4F8E2" w14:textId="77777777" w:rsidR="00A66FA2" w:rsidRDefault="00A66FA2" w:rsidP="00A66FA2">
      <w:pPr>
        <w:rPr>
          <w:b/>
          <w:iCs/>
          <w:lang w:eastAsia="zh-CN"/>
        </w:rPr>
      </w:pPr>
    </w:p>
    <w:p w14:paraId="16B9FD1B" w14:textId="77777777" w:rsidR="000335DC" w:rsidRDefault="000335DC" w:rsidP="000335DC">
      <w:pPr>
        <w:rPr>
          <w:b/>
          <w:iCs/>
          <w:lang w:eastAsia="zh-CN"/>
        </w:rPr>
      </w:pPr>
      <w:r w:rsidRPr="00A66FA2">
        <w:rPr>
          <w:b/>
          <w:iCs/>
          <w:highlight w:val="green"/>
          <w:lang w:eastAsia="zh-CN"/>
        </w:rPr>
        <w:t>Agreement</w:t>
      </w:r>
    </w:p>
    <w:p w14:paraId="4403A456" w14:textId="77777777" w:rsidR="000335DC" w:rsidRPr="000335DC" w:rsidRDefault="000335DC" w:rsidP="000335DC">
      <w:r w:rsidRPr="000335DC">
        <w:t>To maintain backwards compatibility with legacy non-time-frequency-interleaved PMCHs associated an MCCH, frequency interleaving is not applied to MCCH and MSI.</w:t>
      </w:r>
    </w:p>
    <w:p w14:paraId="710735BA" w14:textId="3CA51C6D" w:rsidR="00A66FA2" w:rsidRPr="000335DC" w:rsidRDefault="00A66FA2" w:rsidP="00906478">
      <w:pPr>
        <w:rPr>
          <w:rFonts w:ascii="Times New Roman" w:eastAsia="DengXian" w:hAnsi="Times New Roman"/>
          <w:lang w:eastAsia="zh-CN"/>
        </w:rPr>
      </w:pPr>
    </w:p>
    <w:p w14:paraId="2540652E" w14:textId="37C4F21E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2F4B4E9A" w14:textId="77777777" w:rsidR="00FB32F4" w:rsidRDefault="00FB32F4" w:rsidP="00FB32F4">
      <w:pPr>
        <w:rPr>
          <w:b/>
          <w:iCs/>
          <w:lang w:eastAsia="zh-CN"/>
        </w:rPr>
      </w:pPr>
      <w:r w:rsidRPr="00A66FA2">
        <w:rPr>
          <w:b/>
          <w:iCs/>
          <w:highlight w:val="green"/>
          <w:lang w:eastAsia="zh-CN"/>
        </w:rPr>
        <w:t>Agreement</w:t>
      </w:r>
    </w:p>
    <w:p w14:paraId="18E51C4A" w14:textId="57DCAAC2" w:rsidR="00FB32F4" w:rsidRPr="00A66FA2" w:rsidRDefault="00FB32F4" w:rsidP="00FB32F4">
      <w:pPr>
        <w:rPr>
          <w:bCs/>
          <w:iCs/>
          <w:lang w:eastAsia="zh-CN"/>
        </w:rPr>
      </w:pPr>
      <w:r>
        <w:rPr>
          <w:bCs/>
          <w:iCs/>
          <w:lang w:eastAsia="zh-CN"/>
        </w:rPr>
        <w:t>Additional</w:t>
      </w:r>
      <w:r w:rsidRPr="00A66FA2">
        <w:rPr>
          <w:bCs/>
          <w:iCs/>
          <w:lang w:eastAsia="zh-CN"/>
        </w:rPr>
        <w:t xml:space="preserve"> contents to be included in the MBMS-ROM-Info-19 </w:t>
      </w:r>
      <w:r>
        <w:rPr>
          <w:bCs/>
          <w:iCs/>
          <w:lang w:eastAsia="zh-CN"/>
        </w:rPr>
        <w:t>is</w:t>
      </w:r>
      <w:r w:rsidRPr="00A66FA2">
        <w:rPr>
          <w:bCs/>
          <w:iCs/>
          <w:lang w:eastAsia="zh-CN"/>
        </w:rPr>
        <w:t xml:space="preserve"> as follows:</w:t>
      </w:r>
    </w:p>
    <w:p w14:paraId="7C262C06" w14:textId="6B86046E" w:rsidR="00FB32F4" w:rsidRPr="00FB32F4" w:rsidRDefault="00FB32F4" w:rsidP="00FB32F4">
      <w:pPr>
        <w:ind w:leftChars="100" w:left="200"/>
        <w:rPr>
          <w:rFonts w:ascii="Times New Roman" w:eastAsia="DengXian" w:hAnsi="Times New Roman" w:hint="eastAsia"/>
          <w:bCs/>
          <w:lang w:eastAsia="zh-CN"/>
        </w:rPr>
      </w:pPr>
      <m:oMath>
        <m:r>
          <w:rPr>
            <w:rFonts w:ascii="Cambria Math" w:hAnsi="Cambria Math"/>
          </w:rPr>
          <m:t>β</m:t>
        </m:r>
      </m:oMath>
      <w:r w:rsidRPr="00FB32F4">
        <w:rPr>
          <w:bCs/>
        </w:rPr>
        <w:t xml:space="preserve"> and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soft</m:t>
            </m:r>
          </m:sub>
          <m:sup>
            <m:r>
              <w:rPr>
                <w:rFonts w:ascii="Cambria Math" w:hAnsi="Cambria Math"/>
              </w:rPr>
              <m:t>ref</m:t>
            </m:r>
          </m:sup>
        </m:sSubSup>
      </m:oMath>
      <w:r w:rsidRPr="00FB32F4">
        <w:rPr>
          <w:bCs/>
        </w:rPr>
        <w:t xml:space="preserve"> as described in TS 36.212, for MCH with time-interleaving</w:t>
      </w:r>
    </w:p>
    <w:p w14:paraId="3EF06E63" w14:textId="308A8A7E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4DEFD3DF" w14:textId="77777777" w:rsidR="00FB32F4" w:rsidRPr="00C13CE0" w:rsidRDefault="00FB32F4" w:rsidP="00906478">
      <w:pPr>
        <w:rPr>
          <w:rFonts w:ascii="Times New Roman" w:eastAsia="DengXian" w:hAnsi="Times New Roman" w:hint="eastAsia"/>
          <w:lang w:eastAsia="zh-CN"/>
        </w:rPr>
      </w:pPr>
    </w:p>
    <w:p w14:paraId="6A8BD3B3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92CF6" w14:textId="77777777" w:rsidR="00FE1A21" w:rsidRDefault="00FE1A21">
      <w:r>
        <w:separator/>
      </w:r>
    </w:p>
  </w:endnote>
  <w:endnote w:type="continuationSeparator" w:id="0">
    <w:p w14:paraId="1893D64A" w14:textId="77777777" w:rsidR="00FE1A21" w:rsidRDefault="00FE1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AB7C5" w14:textId="77777777" w:rsidR="00FE1A21" w:rsidRDefault="00FE1A21">
      <w:r>
        <w:separator/>
      </w:r>
    </w:p>
  </w:footnote>
  <w:footnote w:type="continuationSeparator" w:id="0">
    <w:p w14:paraId="2D040F92" w14:textId="77777777" w:rsidR="00FE1A21" w:rsidRDefault="00FE1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5DC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099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04C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4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6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08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6FA2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2F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2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E28E8C"/>
  <w15:chartTrackingRefBased/>
  <w15:docId w15:val="{A75D1A3E-473A-450B-AEB4-FE98CCDC5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2F4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qFormat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0C54-963A-41A1-A932-938D8CDC8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27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5</cp:revision>
  <cp:lastPrinted>2013-05-13T04:37:00Z</cp:lastPrinted>
  <dcterms:created xsi:type="dcterms:W3CDTF">2025-08-22T09:05:00Z</dcterms:created>
  <dcterms:modified xsi:type="dcterms:W3CDTF">2025-08-25T13:01:00Z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1756101850</vt:lpwstr>
  </property>
</Properties>
</file>